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sz w:val="48"/>
          <w:szCs w:val="48"/>
        </w:rPr>
      </w:pPr>
    </w:p>
    <w:p>
      <w:pPr>
        <w:jc w:val="center"/>
        <w:rPr>
          <w:rFonts w:ascii="宋体" w:hAnsi="宋体" w:eastAsia="宋体"/>
          <w:b/>
          <w:bCs/>
          <w:sz w:val="48"/>
          <w:szCs w:val="48"/>
        </w:rPr>
      </w:pPr>
      <w:r>
        <w:rPr>
          <w:rFonts w:hint="eastAsia" w:ascii="宋体" w:hAnsi="宋体" w:eastAsia="宋体"/>
          <w:b/>
          <w:bCs/>
          <w:sz w:val="48"/>
          <w:szCs w:val="48"/>
        </w:rPr>
        <w:t>贵州文化薪火乡村发展基金会</w:t>
      </w:r>
    </w:p>
    <w:p>
      <w:pPr>
        <w:jc w:val="center"/>
        <w:rPr>
          <w:rFonts w:hint="eastAsia" w:ascii="宋体" w:hAnsi="宋体" w:eastAsia="宋体"/>
          <w:b/>
          <w:bCs/>
          <w:sz w:val="48"/>
          <w:szCs w:val="48"/>
        </w:rPr>
      </w:pPr>
      <w:r>
        <w:rPr>
          <w:rFonts w:hint="eastAsia" w:ascii="宋体" w:hAnsi="宋体" w:eastAsia="宋体"/>
          <w:b/>
          <w:bCs/>
          <w:sz w:val="48"/>
          <w:szCs w:val="48"/>
        </w:rPr>
        <w:t>非货币捐赠管理制度</w:t>
      </w:r>
    </w:p>
    <w:p>
      <w:pPr>
        <w:keepNext w:val="0"/>
        <w:keepLines w:val="0"/>
        <w:pageBreakBefore w:val="0"/>
        <w:widowControl w:val="0"/>
        <w:kinsoku/>
        <w:wordWrap/>
        <w:overflowPunct/>
        <w:topLinePunct w:val="0"/>
        <w:autoSpaceDE/>
        <w:autoSpaceDN/>
        <w:bidi w:val="0"/>
        <w:adjustRightInd/>
        <w:snapToGrid/>
        <w:spacing w:before="0" w:beforeLines="0" w:after="0" w:afterLines="0" w:line="1200" w:lineRule="exact"/>
        <w:ind w:left="0" w:leftChars="0" w:right="0" w:rightChars="0" w:firstLine="0" w:firstLineChars="0"/>
        <w:jc w:val="center"/>
        <w:textAlignment w:val="auto"/>
        <w:outlineLvl w:val="9"/>
        <w:rPr>
          <w:rFonts w:hint="eastAsia" w:ascii="宋体" w:hAnsi="宋体"/>
          <w:b/>
          <w:bCs/>
          <w:color w:val="000000"/>
          <w:sz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200" w:lineRule="exact"/>
        <w:ind w:left="0" w:leftChars="0" w:right="0" w:rightChars="0" w:firstLine="0" w:firstLineChars="0"/>
        <w:jc w:val="center"/>
        <w:textAlignment w:val="auto"/>
        <w:outlineLvl w:val="9"/>
        <w:rPr>
          <w:rFonts w:hint="eastAsia" w:ascii="宋体" w:hAnsi="宋体"/>
          <w:b/>
          <w:bCs/>
          <w:color w:val="000000"/>
          <w:sz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200" w:lineRule="exact"/>
        <w:ind w:left="0" w:leftChars="0" w:right="0" w:rightChars="0" w:firstLine="0" w:firstLineChars="0"/>
        <w:jc w:val="center"/>
        <w:textAlignment w:val="auto"/>
        <w:outlineLvl w:val="9"/>
        <w:rPr>
          <w:rFonts w:hint="eastAsia" w:ascii="宋体" w:hAnsi="宋体"/>
          <w:b/>
          <w:bCs/>
          <w:color w:val="000000"/>
          <w:sz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200" w:lineRule="exact"/>
        <w:ind w:left="0" w:leftChars="0" w:right="0" w:rightChars="0" w:firstLine="0" w:firstLineChars="0"/>
        <w:jc w:val="center"/>
        <w:textAlignment w:val="auto"/>
        <w:outlineLvl w:val="9"/>
        <w:rPr>
          <w:rFonts w:hint="eastAsia" w:ascii="宋体" w:hAnsi="宋体"/>
          <w:b/>
          <w:bCs/>
          <w:color w:val="000000"/>
          <w:sz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200" w:lineRule="exact"/>
        <w:ind w:left="0" w:leftChars="0" w:right="0" w:rightChars="0" w:firstLine="0" w:firstLineChars="0"/>
        <w:jc w:val="center"/>
        <w:textAlignment w:val="auto"/>
        <w:outlineLvl w:val="9"/>
        <w:rPr>
          <w:rFonts w:hint="eastAsia" w:ascii="宋体" w:hAnsi="宋体"/>
          <w:b/>
          <w:bCs/>
          <w:color w:val="000000"/>
          <w:sz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200" w:lineRule="exact"/>
        <w:ind w:left="0" w:leftChars="0" w:right="0" w:rightChars="0" w:firstLine="2570" w:firstLineChars="800"/>
        <w:jc w:val="both"/>
        <w:textAlignment w:val="auto"/>
        <w:outlineLvl w:val="9"/>
        <w:rPr>
          <w:rFonts w:hint="default"/>
          <w:sz w:val="32"/>
          <w:lang w:val="en-US" w:eastAsia="zh-CN"/>
        </w:rPr>
      </w:pPr>
      <w:r>
        <w:rPr>
          <w:rFonts w:hint="eastAsia" w:ascii="宋体" w:hAnsi="宋体"/>
          <w:b/>
          <w:bCs/>
          <w:color w:val="000000"/>
          <w:sz w:val="32"/>
          <w:lang w:eastAsia="zh-CN"/>
        </w:rPr>
        <w:t>理事长（签字）：</w:t>
      </w:r>
      <w:r>
        <w:rPr>
          <w:rFonts w:hint="eastAsia" w:ascii="宋体" w:hAnsi="宋体"/>
          <w:b/>
          <w:bCs/>
          <w:color w:val="000000"/>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jc w:val="center"/>
        <w:textAlignment w:val="auto"/>
        <w:outlineLvl w:val="9"/>
        <w:rPr>
          <w:rFonts w:hint="default"/>
          <w:b/>
          <w:bCs/>
          <w:sz w:val="32"/>
          <w:lang w:val="en-US" w:eastAsia="zh-CN"/>
        </w:rPr>
      </w:pPr>
      <w:r>
        <w:rPr>
          <w:rFonts w:hint="eastAsia"/>
          <w:b/>
          <w:bCs/>
          <w:sz w:val="32"/>
          <w:lang w:val="en-US" w:eastAsia="zh-CN"/>
        </w:rPr>
        <w:t>二零一九年一月</w:t>
      </w:r>
    </w:p>
    <w:p>
      <w:pPr>
        <w:jc w:val="center"/>
        <w:rPr>
          <w:rFonts w:hint="eastAsia"/>
          <w:sz w:val="48"/>
          <w:szCs w:val="48"/>
          <w:lang w:val="en-US" w:eastAsia="zh-CN"/>
        </w:rPr>
      </w:pPr>
    </w:p>
    <w:p>
      <w:pPr>
        <w:jc w:val="center"/>
        <w:rPr>
          <w:rFonts w:hint="eastAsia" w:ascii="宋体" w:hAnsi="宋体" w:eastAsia="宋体"/>
          <w:sz w:val="48"/>
          <w:szCs w:val="48"/>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jc w:val="center"/>
        <w:rPr>
          <w:rFonts w:hint="eastAsia" w:ascii="宋体" w:hAnsi="宋体" w:eastAsia="宋体"/>
          <w:sz w:val="48"/>
          <w:szCs w:val="48"/>
        </w:rPr>
      </w:pPr>
      <w:r>
        <w:rPr>
          <w:rFonts w:hint="eastAsia" w:ascii="宋体" w:hAnsi="宋体" w:eastAsia="宋体"/>
          <w:sz w:val="48"/>
          <w:szCs w:val="48"/>
        </w:rPr>
        <w:t>贵州文化薪火乡村发展基金会</w:t>
      </w:r>
    </w:p>
    <w:p>
      <w:pPr>
        <w:jc w:val="center"/>
        <w:rPr>
          <w:rFonts w:hint="eastAsia" w:ascii="宋体" w:hAnsi="宋体" w:eastAsia="宋体"/>
          <w:sz w:val="48"/>
          <w:szCs w:val="48"/>
        </w:rPr>
      </w:pPr>
      <w:r>
        <w:rPr>
          <w:rFonts w:hint="eastAsia" w:ascii="宋体" w:hAnsi="宋体" w:eastAsia="宋体"/>
          <w:sz w:val="48"/>
          <w:szCs w:val="48"/>
        </w:rPr>
        <w:t>非货币捐赠管理</w:t>
      </w:r>
      <w:r>
        <w:rPr>
          <w:rFonts w:hint="eastAsia" w:ascii="宋体" w:hAnsi="宋体" w:eastAsia="宋体"/>
          <w:sz w:val="48"/>
          <w:szCs w:val="48"/>
        </w:rPr>
        <w:t>制度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sz w:val="28"/>
          <w:szCs w:val="28"/>
        </w:rPr>
      </w:pPr>
      <w:r>
        <w:rPr>
          <w:rFonts w:hint="eastAsia" w:ascii="宋体" w:hAnsi="宋体" w:eastAsia="宋体"/>
          <w:sz w:val="28"/>
          <w:szCs w:val="28"/>
        </w:rPr>
        <w:t>第一条 为了规范管理本基金会接受的非货币性捐赠财产，确保捐赠人和受助人的合法权益，根据《中华人民共和国慈善法》、《基金会管理条例》、《民间非营利组织会计制度》、《财政部关于加强企业对外捐赠财务管理的通知》、《财政部关于企业公益性捐赠股权有关财务问题的通知》和本基金会章程规定，制定本制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sz w:val="28"/>
          <w:szCs w:val="28"/>
        </w:rPr>
      </w:pPr>
      <w:r>
        <w:rPr>
          <w:rFonts w:hint="eastAsia" w:ascii="宋体" w:hAnsi="宋体" w:eastAsia="宋体"/>
          <w:sz w:val="28"/>
          <w:szCs w:val="28"/>
        </w:rPr>
        <w:t>第二条 非货币性捐赠财产，包括图书、计算机硬件、体育器材、教学及学生用品、股权等。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sz w:val="28"/>
          <w:szCs w:val="28"/>
        </w:rPr>
      </w:pPr>
      <w:r>
        <w:rPr>
          <w:rFonts w:hint="eastAsia" w:ascii="宋体" w:hAnsi="宋体" w:eastAsia="宋体"/>
          <w:sz w:val="28"/>
          <w:szCs w:val="28"/>
        </w:rPr>
        <w:t>第三条 非货币性捐赠财产的使用范围：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sz w:val="28"/>
          <w:szCs w:val="28"/>
        </w:rPr>
      </w:pPr>
      <w:r>
        <w:rPr>
          <w:rFonts w:hint="eastAsia" w:ascii="宋体" w:hAnsi="宋体" w:eastAsia="宋体"/>
          <w:sz w:val="28"/>
          <w:szCs w:val="28"/>
        </w:rPr>
        <w:t>（一）用于本基金会章程所规定的本基金会慈善活动的业务范围；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sz w:val="28"/>
          <w:szCs w:val="28"/>
        </w:rPr>
      </w:pPr>
      <w:r>
        <w:rPr>
          <w:rFonts w:hint="eastAsia" w:ascii="宋体" w:hAnsi="宋体" w:eastAsia="宋体"/>
          <w:sz w:val="28"/>
          <w:szCs w:val="28"/>
        </w:rPr>
        <w:t>（二）根据捐赠人的意愿，进行其他资助活动。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sz w:val="28"/>
          <w:szCs w:val="28"/>
        </w:rPr>
      </w:pPr>
      <w:r>
        <w:rPr>
          <w:rFonts w:hint="eastAsia" w:ascii="宋体" w:hAnsi="宋体" w:eastAsia="宋体"/>
          <w:sz w:val="28"/>
          <w:szCs w:val="28"/>
        </w:rPr>
        <w:t>第四条 愿意捐赠的自然人、法人或者其他组织，可以向本基金会捐赠其有权处理的非货币性财产。</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sz w:val="28"/>
          <w:szCs w:val="28"/>
        </w:rPr>
      </w:pPr>
      <w:r>
        <w:rPr>
          <w:rFonts w:hint="eastAsia" w:ascii="宋体" w:hAnsi="宋体" w:eastAsia="宋体"/>
          <w:sz w:val="28"/>
          <w:szCs w:val="28"/>
        </w:rPr>
        <w:t>第五条 本基金会接受非货币性捐赠财产，在实际收到后确认收入并开具捐赠票据。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sz w:val="28"/>
          <w:szCs w:val="28"/>
        </w:rPr>
      </w:pPr>
      <w:r>
        <w:rPr>
          <w:rFonts w:hint="eastAsia" w:ascii="宋体" w:hAnsi="宋体" w:eastAsia="宋体"/>
          <w:sz w:val="28"/>
          <w:szCs w:val="28"/>
        </w:rPr>
        <w:t>第六条 本基金会接受非货币性捐赠财产，按照以下方法确定入账价值：</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sz w:val="28"/>
          <w:szCs w:val="28"/>
        </w:rPr>
      </w:pPr>
      <w:r>
        <w:rPr>
          <w:rFonts w:hint="eastAsia" w:ascii="宋体" w:hAnsi="宋体" w:eastAsia="宋体"/>
          <w:sz w:val="28"/>
          <w:szCs w:val="28"/>
        </w:rPr>
        <w:t>（一）捐赠人提供了发票、报关单等凭据的，以相关凭据作为确认入账价值的依据；捐赠方不能提供凭据的，以其他确认捐赠财产的证明，作为确认入账价值的依据；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sz w:val="28"/>
          <w:szCs w:val="28"/>
        </w:rPr>
      </w:pPr>
      <w:r>
        <w:rPr>
          <w:rFonts w:hint="eastAsia" w:ascii="宋体" w:hAnsi="宋体" w:eastAsia="宋体"/>
          <w:sz w:val="28"/>
          <w:szCs w:val="28"/>
        </w:rPr>
        <w:t>（二）捐赠人提供的凭据或其他能够确认受赠资产价值的证明上标明的金额与受赠资产公允价值相差较大的，以其公允价值作为入账价值。</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sz w:val="28"/>
          <w:szCs w:val="28"/>
        </w:rPr>
      </w:pPr>
      <w:r>
        <w:rPr>
          <w:rFonts w:hint="eastAsia" w:ascii="宋体" w:hAnsi="宋体" w:eastAsia="宋体"/>
          <w:sz w:val="28"/>
          <w:szCs w:val="28"/>
        </w:rPr>
        <w:t>第七条 本办法中所称的公允价值是指在公平交易中，熟悉情况的交易双方，自愿进行物资交换或者债务清偿的金额。公允价值的确定顺序如下：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sz w:val="28"/>
          <w:szCs w:val="28"/>
        </w:rPr>
      </w:pPr>
      <w:r>
        <w:rPr>
          <w:rFonts w:hint="eastAsia" w:ascii="宋体" w:hAnsi="宋体" w:eastAsia="宋体"/>
          <w:sz w:val="28"/>
          <w:szCs w:val="28"/>
        </w:rPr>
        <w:t>（一）如果同类或类似物资存在活跃市场的，应当按照同类或类似物资的市场价格确定公允价值；</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sz w:val="28"/>
          <w:szCs w:val="28"/>
        </w:rPr>
      </w:pPr>
      <w:r>
        <w:rPr>
          <w:rFonts w:hint="eastAsia" w:ascii="宋体" w:hAnsi="宋体" w:eastAsia="宋体"/>
          <w:sz w:val="28"/>
          <w:szCs w:val="28"/>
        </w:rPr>
        <w:t>（二）如果同类或类似物资不存在活跃市场，或者无法找到同类或类似物资的，应当采用合理的计价方法确定物资的公允价值。</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sz w:val="28"/>
          <w:szCs w:val="28"/>
        </w:rPr>
      </w:pPr>
      <w:r>
        <w:rPr>
          <w:rFonts w:hint="eastAsia" w:ascii="宋体" w:hAnsi="宋体" w:eastAsia="宋体"/>
          <w:sz w:val="28"/>
          <w:szCs w:val="28"/>
        </w:rPr>
        <w:t>第八条 本基金会接受食品、药品、医疗器械等，应确保物品在到达最终受益人时仍处于保质期内且具有使用价值。</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sz w:val="28"/>
          <w:szCs w:val="28"/>
        </w:rPr>
      </w:pPr>
      <w:r>
        <w:rPr>
          <w:rFonts w:hint="eastAsia" w:ascii="宋体" w:hAnsi="宋体" w:eastAsia="宋体"/>
          <w:sz w:val="28"/>
          <w:szCs w:val="28"/>
        </w:rPr>
        <w:t>第九条 捐赠人以持有的股权向本基金会进行公益性捐赠的，应办理股权变更至本基金会的手续，同时不再对已捐赠股权行使股东权利，并不得求本基金会予以经济回报。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sz w:val="28"/>
          <w:szCs w:val="28"/>
        </w:rPr>
      </w:pPr>
      <w:r>
        <w:rPr>
          <w:rFonts w:hint="eastAsia" w:ascii="宋体" w:hAnsi="宋体" w:eastAsia="宋体"/>
          <w:sz w:val="28"/>
          <w:szCs w:val="28"/>
        </w:rPr>
        <w:t>第十条 本基金会对非货币性捐赠财产设立专门的会计科目单独核算并进行专项管理，建立严格的分类登记制度。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sz w:val="28"/>
          <w:szCs w:val="28"/>
        </w:rPr>
      </w:pPr>
      <w:r>
        <w:rPr>
          <w:rFonts w:hint="eastAsia" w:ascii="宋体" w:hAnsi="宋体" w:eastAsia="宋体"/>
          <w:sz w:val="28"/>
          <w:szCs w:val="28"/>
        </w:rPr>
        <w:t>第十一条 对捐赠人有具体用途、使用方式和捐助地区的非货币性捐赠财产，本基金会按照捐赠人的意愿使用；确需改变用途、使用方式和捐助地区的，应征得捐赠人书面同意。对不易储存、运输和超过实际需要的捐赠物资，本基金会可以依法拍卖或变卖，所得收入用于捐赠目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sz w:val="28"/>
          <w:szCs w:val="28"/>
        </w:rPr>
      </w:pPr>
      <w:r>
        <w:rPr>
          <w:rFonts w:hint="eastAsia" w:ascii="宋体" w:hAnsi="宋体" w:eastAsia="宋体"/>
          <w:sz w:val="28"/>
          <w:szCs w:val="28"/>
        </w:rPr>
        <w:t>第十二条 本基金会接受非货币性捐赠物资入库管理：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sz w:val="28"/>
          <w:szCs w:val="28"/>
        </w:rPr>
      </w:pPr>
      <w:r>
        <w:rPr>
          <w:rFonts w:hint="eastAsia" w:ascii="宋体" w:hAnsi="宋体" w:eastAsia="宋体"/>
          <w:sz w:val="28"/>
          <w:szCs w:val="28"/>
        </w:rPr>
        <w:t>（一）捐赠物资入库时，需核实数量、检验质量、填制入库单，非捐赠物资不得私自入库：</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sz w:val="28"/>
          <w:szCs w:val="28"/>
        </w:rPr>
      </w:pPr>
      <w:r>
        <w:rPr>
          <w:rFonts w:hint="eastAsia" w:ascii="宋体" w:hAnsi="宋体" w:eastAsia="宋体"/>
          <w:sz w:val="28"/>
          <w:szCs w:val="28"/>
        </w:rPr>
        <w:t>（二）入库物资要有专人保管，建立库存物资台帐，一律凭入库单清点物资入库，凭出库单清点物资出库；</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sz w:val="28"/>
          <w:szCs w:val="28"/>
        </w:rPr>
      </w:pPr>
      <w:r>
        <w:rPr>
          <w:rFonts w:hint="eastAsia" w:ascii="宋体" w:hAnsi="宋体" w:eastAsia="宋体"/>
          <w:sz w:val="28"/>
          <w:szCs w:val="28"/>
        </w:rPr>
        <w:t>（三）定期对库存物资进行清查对帐，做到账实相符；发现问题要及时查明原因，并向基金会领导报告。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sz w:val="28"/>
          <w:szCs w:val="28"/>
        </w:rPr>
      </w:pPr>
      <w:r>
        <w:rPr>
          <w:rFonts w:hint="eastAsia" w:ascii="宋体" w:hAnsi="宋体" w:eastAsia="宋体"/>
          <w:sz w:val="28"/>
          <w:szCs w:val="28"/>
        </w:rPr>
        <w:t>第十三条 本基金会非货币性捐赠物资出库及分发管理：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sz w:val="28"/>
          <w:szCs w:val="28"/>
        </w:rPr>
      </w:pPr>
      <w:r>
        <w:rPr>
          <w:rFonts w:hint="eastAsia" w:ascii="宋体" w:hAnsi="宋体" w:eastAsia="宋体"/>
          <w:sz w:val="28"/>
          <w:szCs w:val="28"/>
        </w:rPr>
        <w:t>（一）按照《捐赠协议》捐赠要求，执行非货币性捐赠物资的出库及分发工作；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sz w:val="28"/>
          <w:szCs w:val="28"/>
        </w:rPr>
      </w:pPr>
      <w:r>
        <w:rPr>
          <w:rFonts w:hint="eastAsia" w:ascii="宋体" w:hAnsi="宋体" w:eastAsia="宋体"/>
          <w:sz w:val="28"/>
          <w:szCs w:val="28"/>
        </w:rPr>
        <w:t>（二）非货币性捐赠物资出库时办理出库单，物资出库及分发程序严格依据《捐赠协议》，按照捐赠人意愿向受助人提出物资使用要求，并将非货币性捐赠物资按捐赠协议交付受助人。受助人清点物资无误后，应向本基金会开具物资接收凭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sz w:val="28"/>
          <w:szCs w:val="28"/>
        </w:rPr>
      </w:pPr>
      <w:r>
        <w:rPr>
          <w:rFonts w:hint="eastAsia" w:ascii="宋体" w:hAnsi="宋体" w:eastAsia="宋体"/>
          <w:sz w:val="28"/>
          <w:szCs w:val="28"/>
        </w:rPr>
        <w:t>第十四条 本基金会接受非货币性捐赠物资在网站上进行公示，公示内容包括：接收捐赠物资的日期、捐赠人名称、物资金额等。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sz w:val="28"/>
          <w:szCs w:val="28"/>
        </w:rPr>
      </w:pPr>
      <w:r>
        <w:rPr>
          <w:rFonts w:hint="eastAsia" w:ascii="宋体" w:hAnsi="宋体" w:eastAsia="宋体"/>
          <w:sz w:val="28"/>
          <w:szCs w:val="28"/>
        </w:rPr>
        <w:t xml:space="preserve">第十五条  捐赠人有权向本基金会查询非货币性捐赠物资的使用、管理情况，并提出意见和建议。对于捐赠人的查询，本基金会应在五个工作日内如实答复。 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sz w:val="28"/>
          <w:szCs w:val="28"/>
        </w:rPr>
      </w:pPr>
      <w:r>
        <w:rPr>
          <w:rFonts w:hint="eastAsia" w:ascii="宋体" w:hAnsi="宋体" w:eastAsia="宋体"/>
          <w:sz w:val="28"/>
          <w:szCs w:val="28"/>
        </w:rPr>
        <w:t xml:space="preserve">第十六条  本基金会应与受助人签订《捐赠协议》，约定资助方式、资助数额、用途及使用方式。 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sz w:val="28"/>
          <w:szCs w:val="28"/>
        </w:rPr>
      </w:pPr>
      <w:r>
        <w:rPr>
          <w:rFonts w:hint="eastAsia" w:ascii="宋体" w:hAnsi="宋体" w:eastAsia="宋体"/>
          <w:sz w:val="28"/>
          <w:szCs w:val="28"/>
        </w:rPr>
        <w:t>第十七条 本基金会有权对资助的使用情况进行监督。受助人未按《捐赠协议》约定使用资助或者有其他违反协议情形的，本基金会有权解除《捐赠协议》。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sz w:val="28"/>
          <w:szCs w:val="28"/>
        </w:rPr>
      </w:pPr>
      <w:r>
        <w:rPr>
          <w:rFonts w:hint="eastAsia" w:ascii="宋体" w:hAnsi="宋体" w:eastAsia="宋体"/>
          <w:sz w:val="28"/>
          <w:szCs w:val="28"/>
        </w:rPr>
        <w:t>第十八条 捐赠人应认真履行《捐赠协议》，按照《捐赠协议》约定的期限和方式将非货币性捐赠物资移交给本基金会。对不能按时履约的，捐赠人应及时向本基金会说明情况，并签订补充履约协议。本基金会有权依法向协议捐赠人追要捐赠物资，并通过适当方式向社会公告说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sz w:val="28"/>
          <w:szCs w:val="28"/>
        </w:rPr>
      </w:pPr>
      <w:r>
        <w:rPr>
          <w:rFonts w:hint="eastAsia" w:ascii="宋体" w:hAnsi="宋体" w:eastAsia="宋体"/>
          <w:sz w:val="28"/>
          <w:szCs w:val="28"/>
        </w:rPr>
        <w:t xml:space="preserve">第十九条 本基金会所接受的非货币性捐赠物资，应按照相关法律、法规及捐赠物资的使用范围，全部、足额使用，不以任何理由挪作他用。本基金会要组织人力及时开展对捐赠物资发放、使用情况的日常自查和自我监督。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sz w:val="28"/>
          <w:szCs w:val="28"/>
        </w:rPr>
      </w:pPr>
      <w:r>
        <w:rPr>
          <w:rFonts w:hint="eastAsia" w:ascii="宋体" w:hAnsi="宋体" w:eastAsia="宋体"/>
          <w:sz w:val="28"/>
          <w:szCs w:val="28"/>
        </w:rPr>
        <w:t>第二十条  本暂行办法由本基金会负责解释。 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sz w:val="28"/>
          <w:szCs w:val="28"/>
        </w:rPr>
      </w:pPr>
      <w:r>
        <w:rPr>
          <w:rFonts w:hint="eastAsia" w:ascii="宋体" w:hAnsi="宋体" w:eastAsia="宋体"/>
          <w:sz w:val="28"/>
          <w:szCs w:val="28"/>
        </w:rPr>
        <w:t>第二十一条  本制度经理事会会议审议通过后施行。 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sz w:val="28"/>
          <w:szCs w:val="28"/>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sz w:val="28"/>
          <w:szCs w:val="28"/>
        </w:rPr>
      </w:pPr>
    </w:p>
    <w:p>
      <w:pPr>
        <w:jc w:val="right"/>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贵州文化薪火乡村</w:t>
      </w:r>
      <w:r>
        <w:rPr>
          <w:rFonts w:hint="eastAsia" w:ascii="宋体" w:hAnsi="宋体" w:eastAsia="宋体" w:cs="宋体"/>
          <w:b/>
          <w:bCs/>
          <w:sz w:val="32"/>
          <w:szCs w:val="32"/>
        </w:rPr>
        <w:t>发展基金会</w:t>
      </w:r>
    </w:p>
    <w:p>
      <w:pPr>
        <w:jc w:val="center"/>
        <w:rPr>
          <w:rFonts w:hint="eastAsia" w:ascii="宋体" w:hAnsi="宋体" w:eastAsia="宋体"/>
          <w:sz w:val="28"/>
          <w:szCs w:val="28"/>
          <w:lang w:val="en-US" w:eastAsia="zh-CN"/>
        </w:rPr>
      </w:pPr>
      <w:r>
        <w:rPr>
          <w:rFonts w:hint="eastAsia" w:asciiTheme="minorEastAsia" w:hAnsiTheme="minorEastAsia" w:cstheme="minorEastAsia"/>
          <w:b/>
          <w:bCs/>
          <w:sz w:val="32"/>
          <w:szCs w:val="32"/>
          <w:lang w:val="en-US" w:eastAsia="zh-CN"/>
        </w:rPr>
        <w:t xml:space="preserve">                       </w:t>
      </w:r>
      <w:r>
        <w:rPr>
          <w:rFonts w:hint="eastAsia" w:asciiTheme="minorEastAsia" w:hAnsiTheme="minorEastAsia" w:eastAsiaTheme="minorEastAsia" w:cstheme="minorEastAsia"/>
          <w:b/>
          <w:bCs/>
          <w:sz w:val="32"/>
          <w:szCs w:val="32"/>
          <w:lang w:val="en-US" w:eastAsia="zh-CN"/>
        </w:rPr>
        <w:t>2019年1月</w:t>
      </w:r>
      <w:r>
        <w:rPr>
          <w:rFonts w:hint="eastAsia" w:asciiTheme="minorEastAsia" w:hAnsiTheme="minorEastAsia" w:cstheme="minorEastAsia"/>
          <w:b/>
          <w:bCs/>
          <w:sz w:val="32"/>
          <w:szCs w:val="32"/>
          <w:lang w:val="en-US" w:eastAsia="zh-CN"/>
        </w:rPr>
        <w:t>2</w:t>
      </w:r>
      <w:r>
        <w:rPr>
          <w:rFonts w:hint="eastAsia" w:asciiTheme="minorEastAsia" w:hAnsiTheme="minorEastAsia" w:eastAsiaTheme="minorEastAsia" w:cstheme="minorEastAsia"/>
          <w:b/>
          <w:bCs/>
          <w:sz w:val="32"/>
          <w:szCs w:val="32"/>
          <w:lang w:val="en-US" w:eastAsia="zh-CN"/>
        </w:rPr>
        <w:t>日</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0" w:name="_GoBack"/>
    <w:r>
      <w:drawing>
        <wp:inline distT="0" distB="0" distL="0" distR="0">
          <wp:extent cx="5172075" cy="609600"/>
          <wp:effectExtent l="0" t="0" r="9525" b="0"/>
          <wp:docPr id="1" name="图片 1" descr="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172075" cy="609600"/>
                  </a:xfrm>
                  <a:prstGeom prst="rect">
                    <a:avLst/>
                  </a:prstGeom>
                  <a:noFill/>
                  <a:ln>
                    <a:noFill/>
                  </a:ln>
                </pic:spPr>
              </pic:pic>
            </a:graphicData>
          </a:graphic>
        </wp:inline>
      </w:drawing>
    </w:r>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B3123"/>
    <w:rsid w:val="00000E8F"/>
    <w:rsid w:val="003B3123"/>
    <w:rsid w:val="004871E1"/>
    <w:rsid w:val="004D079F"/>
    <w:rsid w:val="0050670B"/>
    <w:rsid w:val="005130CB"/>
    <w:rsid w:val="005333DA"/>
    <w:rsid w:val="00565073"/>
    <w:rsid w:val="006138BF"/>
    <w:rsid w:val="007824EC"/>
    <w:rsid w:val="008520A8"/>
    <w:rsid w:val="008A771E"/>
    <w:rsid w:val="009C3C1A"/>
    <w:rsid w:val="00A6160E"/>
    <w:rsid w:val="00C86625"/>
    <w:rsid w:val="00D103E1"/>
    <w:rsid w:val="00D316B8"/>
    <w:rsid w:val="00D77EAD"/>
    <w:rsid w:val="00DA784F"/>
    <w:rsid w:val="00E23A02"/>
    <w:rsid w:val="00E33B3A"/>
    <w:rsid w:val="00F1248D"/>
    <w:rsid w:val="36C06A28"/>
    <w:rsid w:val="66EA3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Pages>
  <Words>278</Words>
  <Characters>1586</Characters>
  <Lines>13</Lines>
  <Paragraphs>3</Paragraphs>
  <TotalTime>17</TotalTime>
  <ScaleCrop>false</ScaleCrop>
  <LinksUpToDate>false</LinksUpToDate>
  <CharactersWithSpaces>1861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2021-11-16T08:48:00Z</dcterms:created>
  <dc:creator>Windows User</dc:creator>
  <cp:lastModifiedBy>Kate</cp:lastModifiedBy>
  <cp:lastPrinted>2021-11-18T02:58:25Z</cp:lastPrinted>
  <dcterms:modified xsi:type="dcterms:W3CDTF">2021-11-18T03:09:19Z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A7C4118D62244A42AFD2D5851158E735</vt:lpwstr>
  </property>
</Properties>
</file>